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B781" w14:textId="77777777" w:rsidR="005369C1" w:rsidRDefault="005369C1" w:rsidP="003F3EB0">
      <w:pPr>
        <w:spacing w:after="0" w:line="240" w:lineRule="auto"/>
        <w:jc w:val="center"/>
        <w:rPr>
          <w:rFonts w:cs="Times New Roman"/>
          <w:b/>
        </w:rPr>
      </w:pPr>
      <w:r w:rsidRPr="00F96948">
        <w:rPr>
          <w:rFonts w:cs="Times New Roman"/>
          <w:b/>
        </w:rPr>
        <w:t xml:space="preserve">ATA DE JULGAMENTO DE </w:t>
      </w:r>
      <w:r>
        <w:rPr>
          <w:rFonts w:cs="Times New Roman"/>
          <w:b/>
        </w:rPr>
        <w:t>RECURSO</w:t>
      </w:r>
    </w:p>
    <w:p w14:paraId="57B6DA1B" w14:textId="2B6B53F4" w:rsidR="005369C1" w:rsidRDefault="005369C1" w:rsidP="003F3EB0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PREGÃO PRESENCIAL Nº 0</w:t>
      </w:r>
      <w:r w:rsidR="00887C09">
        <w:rPr>
          <w:rFonts w:cs="Times New Roman"/>
          <w:b/>
        </w:rPr>
        <w:t>16</w:t>
      </w:r>
      <w:r>
        <w:rPr>
          <w:rFonts w:cs="Times New Roman"/>
          <w:b/>
        </w:rPr>
        <w:t>/202</w:t>
      </w:r>
      <w:r w:rsidR="00887C09">
        <w:rPr>
          <w:rFonts w:cs="Times New Roman"/>
          <w:b/>
        </w:rPr>
        <w:t>3</w:t>
      </w:r>
    </w:p>
    <w:p w14:paraId="1CDA1C98" w14:textId="0D11D19D" w:rsidR="005369C1" w:rsidRPr="00F96948" w:rsidRDefault="005369C1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>Ao</w:t>
      </w:r>
      <w:r w:rsidR="00887C09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887C09">
        <w:rPr>
          <w:rFonts w:cs="Times New Roman"/>
        </w:rPr>
        <w:t>doze</w:t>
      </w:r>
      <w:r>
        <w:rPr>
          <w:rFonts w:cs="Times New Roman"/>
        </w:rPr>
        <w:t xml:space="preserve"> dia</w:t>
      </w:r>
      <w:r w:rsidR="00887C09">
        <w:rPr>
          <w:rFonts w:cs="Times New Roman"/>
        </w:rPr>
        <w:t>s</w:t>
      </w:r>
      <w:r>
        <w:rPr>
          <w:rFonts w:cs="Times New Roman"/>
        </w:rPr>
        <w:t xml:space="preserve"> do mês de setembro do ano de dois mil e vinte</w:t>
      </w:r>
      <w:r w:rsidR="00887C09">
        <w:rPr>
          <w:rFonts w:cs="Times New Roman"/>
        </w:rPr>
        <w:t xml:space="preserve"> e três</w:t>
      </w:r>
      <w:r>
        <w:rPr>
          <w:rFonts w:cs="Times New Roman"/>
        </w:rPr>
        <w:t>, reuniram</w:t>
      </w:r>
      <w:r w:rsidRPr="00F96948">
        <w:rPr>
          <w:rFonts w:cs="Times New Roman"/>
        </w:rPr>
        <w:t xml:space="preserve">-se </w:t>
      </w:r>
      <w:r>
        <w:rPr>
          <w:rFonts w:cs="Times New Roman"/>
        </w:rPr>
        <w:t xml:space="preserve">na sede do poder executivo municipal, </w:t>
      </w:r>
      <w:r w:rsidRPr="00F96948">
        <w:rPr>
          <w:rFonts w:cs="Times New Roman"/>
        </w:rPr>
        <w:t>a Equipe de Ap</w:t>
      </w:r>
      <w:r>
        <w:rPr>
          <w:rFonts w:cs="Times New Roman"/>
        </w:rPr>
        <w:t xml:space="preserve">oio juntamente com o Pregoeiro </w:t>
      </w:r>
      <w:r w:rsidRPr="00F96948">
        <w:rPr>
          <w:rFonts w:cs="Times New Roman"/>
        </w:rPr>
        <w:t xml:space="preserve">designados pela Portaria </w:t>
      </w:r>
      <w:r w:rsidR="00887C09">
        <w:rPr>
          <w:rFonts w:cs="Times New Roman"/>
        </w:rPr>
        <w:t>294</w:t>
      </w:r>
      <w:r>
        <w:rPr>
          <w:rFonts w:cs="Times New Roman"/>
        </w:rPr>
        <w:t>/20</w:t>
      </w:r>
      <w:r w:rsidR="00887C09">
        <w:rPr>
          <w:rFonts w:cs="Times New Roman"/>
        </w:rPr>
        <w:t>23</w:t>
      </w:r>
      <w:r>
        <w:rPr>
          <w:rFonts w:cs="Times New Roman"/>
        </w:rPr>
        <w:t xml:space="preserve"> de </w:t>
      </w:r>
      <w:r w:rsidR="00887C09">
        <w:rPr>
          <w:rFonts w:cs="Times New Roman"/>
        </w:rPr>
        <w:t>06</w:t>
      </w:r>
      <w:r>
        <w:rPr>
          <w:rFonts w:cs="Times New Roman"/>
        </w:rPr>
        <w:t>/</w:t>
      </w:r>
      <w:r w:rsidR="00887C09">
        <w:rPr>
          <w:rFonts w:cs="Times New Roman"/>
        </w:rPr>
        <w:t>04</w:t>
      </w:r>
      <w:r>
        <w:rPr>
          <w:rFonts w:cs="Times New Roman"/>
        </w:rPr>
        <w:t>/20</w:t>
      </w:r>
      <w:r w:rsidR="00887C09">
        <w:rPr>
          <w:rFonts w:cs="Times New Roman"/>
        </w:rPr>
        <w:t>23</w:t>
      </w:r>
      <w:r w:rsidRPr="00F96948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F96948">
        <w:rPr>
          <w:rFonts w:cs="Times New Roman"/>
        </w:rPr>
        <w:t xml:space="preserve">para </w:t>
      </w:r>
      <w:r>
        <w:rPr>
          <w:rFonts w:cs="Times New Roman"/>
        </w:rPr>
        <w:t xml:space="preserve">julgamento de recurso administrativo </w:t>
      </w:r>
      <w:r w:rsidR="000D1CA0">
        <w:rPr>
          <w:rFonts w:cs="Times New Roman"/>
        </w:rPr>
        <w:t>a</w:t>
      </w:r>
      <w:r>
        <w:rPr>
          <w:rFonts w:cs="Times New Roman"/>
        </w:rPr>
        <w:t>o Pregão Presencial nº 0</w:t>
      </w:r>
      <w:r w:rsidR="00887C09">
        <w:rPr>
          <w:rFonts w:cs="Times New Roman"/>
        </w:rPr>
        <w:t>16</w:t>
      </w:r>
      <w:r>
        <w:rPr>
          <w:rFonts w:cs="Times New Roman"/>
        </w:rPr>
        <w:t>/202</w:t>
      </w:r>
      <w:r w:rsidR="00887C09">
        <w:rPr>
          <w:rFonts w:cs="Times New Roman"/>
        </w:rPr>
        <w:t>3</w:t>
      </w:r>
      <w:r>
        <w:rPr>
          <w:rFonts w:cs="Times New Roman"/>
        </w:rPr>
        <w:t>, processo nº 0</w:t>
      </w:r>
      <w:r w:rsidR="00887C09">
        <w:rPr>
          <w:rFonts w:cs="Times New Roman"/>
        </w:rPr>
        <w:t>78</w:t>
      </w:r>
      <w:r>
        <w:rPr>
          <w:rFonts w:cs="Times New Roman"/>
        </w:rPr>
        <w:t>/202</w:t>
      </w:r>
      <w:r w:rsidR="00887C09">
        <w:rPr>
          <w:rFonts w:cs="Times New Roman"/>
        </w:rPr>
        <w:t>3</w:t>
      </w:r>
      <w:r>
        <w:rPr>
          <w:rFonts w:cs="Times New Roman"/>
        </w:rPr>
        <w:t>, que trata de aquisição de larvicida biológico</w:t>
      </w:r>
      <w:r w:rsidRPr="00F96948">
        <w:rPr>
          <w:rFonts w:cs="Times New Roman"/>
        </w:rPr>
        <w:t>.</w:t>
      </w:r>
    </w:p>
    <w:p w14:paraId="7687C470" w14:textId="126373C8" w:rsidR="005369C1" w:rsidRDefault="005369C1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 xml:space="preserve">Foi analisada a manifestação escrita da empresa Sanigran Ltda que requer reclassificação de sua proposta pelo cumprimento integral das cláusulas do edital. Alega equívoco do pregoeiro </w:t>
      </w:r>
      <w:r w:rsidR="00887C09">
        <w:rPr>
          <w:rFonts w:cs="Times New Roman"/>
        </w:rPr>
        <w:t>na recusa da proposta</w:t>
      </w:r>
      <w:r>
        <w:rPr>
          <w:rFonts w:cs="Times New Roman"/>
        </w:rPr>
        <w:t xml:space="preserve"> da empresa</w:t>
      </w:r>
      <w:r w:rsidR="00887C09">
        <w:rPr>
          <w:rFonts w:cs="Times New Roman"/>
        </w:rPr>
        <w:t xml:space="preserve">, formalismo exacerbado e não atendimento do Artigo 30, II da Lei 8.666/93. </w:t>
      </w:r>
      <w:r>
        <w:rPr>
          <w:rFonts w:cs="Times New Roman"/>
        </w:rPr>
        <w:t xml:space="preserve">Alega que apresentou atestado de capacidade técnica </w:t>
      </w:r>
      <w:r w:rsidR="00887C09">
        <w:rPr>
          <w:rFonts w:cs="Times New Roman"/>
        </w:rPr>
        <w:t xml:space="preserve">junto à habilitação, sendo este </w:t>
      </w:r>
      <w:r>
        <w:rPr>
          <w:rFonts w:cs="Times New Roman"/>
        </w:rPr>
        <w:t>expedido pela Prefeitura de Novo Hamburgo.</w:t>
      </w:r>
    </w:p>
    <w:p w14:paraId="5187F8FE" w14:textId="2433919E" w:rsidR="005369C1" w:rsidRDefault="005369C1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>Anexou ao recurso, diversas decisões de outros procedimentos licitatórios, análises e jurisprudência sobre princípios de vinculação ao edital</w:t>
      </w:r>
      <w:r w:rsidR="000907FF">
        <w:rPr>
          <w:rFonts w:cs="Times New Roman"/>
        </w:rPr>
        <w:t xml:space="preserve"> e formalismo moderado</w:t>
      </w:r>
      <w:r>
        <w:rPr>
          <w:rFonts w:cs="Times New Roman"/>
        </w:rPr>
        <w:t xml:space="preserve">. </w:t>
      </w:r>
      <w:r w:rsidR="000907FF">
        <w:rPr>
          <w:rFonts w:cs="Times New Roman"/>
        </w:rPr>
        <w:t xml:space="preserve">Indica a necessidade de </w:t>
      </w:r>
      <w:r>
        <w:rPr>
          <w:rFonts w:cs="Times New Roman"/>
        </w:rPr>
        <w:t>abertura de diligência</w:t>
      </w:r>
      <w:r w:rsidR="000907FF">
        <w:rPr>
          <w:rFonts w:cs="Times New Roman"/>
        </w:rPr>
        <w:t xml:space="preserve"> que ajudará a Administração a decidir o recurso</w:t>
      </w:r>
      <w:r>
        <w:rPr>
          <w:rFonts w:cs="Times New Roman"/>
        </w:rPr>
        <w:t>.</w:t>
      </w:r>
      <w:r w:rsidR="000907FF">
        <w:rPr>
          <w:rFonts w:cs="Times New Roman"/>
        </w:rPr>
        <w:t xml:space="preserve"> Solicita a promoção da diligência ou justificar sua negativa.</w:t>
      </w:r>
      <w:r>
        <w:rPr>
          <w:rFonts w:cs="Times New Roman"/>
        </w:rPr>
        <w:t xml:space="preserve"> Ao final requer reconhecid</w:t>
      </w:r>
      <w:r w:rsidR="00F93451">
        <w:rPr>
          <w:rFonts w:cs="Times New Roman"/>
        </w:rPr>
        <w:t>o</w:t>
      </w:r>
      <w:r>
        <w:rPr>
          <w:rFonts w:cs="Times New Roman"/>
        </w:rPr>
        <w:t xml:space="preserve"> </w:t>
      </w:r>
      <w:r w:rsidR="000907FF">
        <w:rPr>
          <w:rFonts w:cs="Times New Roman"/>
        </w:rPr>
        <w:t>o cumprimento do edital e anulação das fases ocorridas após o ato ilegal, com a realização de nova sessão pública</w:t>
      </w:r>
      <w:r>
        <w:rPr>
          <w:rFonts w:cs="Times New Roman"/>
        </w:rPr>
        <w:t>.</w:t>
      </w:r>
    </w:p>
    <w:p w14:paraId="68680F4C" w14:textId="7F8A3D6F" w:rsidR="005369C1" w:rsidRDefault="005369C1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>Em seguida analisou-se a manifestação das contrarrazões da empresa Comércio e Representações Mattielo Ltda</w:t>
      </w:r>
      <w:r w:rsidR="000D1CA0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3D4260">
        <w:rPr>
          <w:rFonts w:cs="Times New Roman"/>
        </w:rPr>
        <w:t>onde menciona que não houve apresentação de impugnação ao edital e que a empresa recorrente foi desclassificada corretamente por não atender às exigências do instrumento convocatório</w:t>
      </w:r>
      <w:r>
        <w:rPr>
          <w:rFonts w:cs="Times New Roman"/>
        </w:rPr>
        <w:t xml:space="preserve">. Ressalta que cumpriu todos os requisitos do </w:t>
      </w:r>
      <w:r w:rsidR="003D4260">
        <w:rPr>
          <w:rFonts w:cs="Times New Roman"/>
        </w:rPr>
        <w:t>processo</w:t>
      </w:r>
      <w:r>
        <w:rPr>
          <w:rFonts w:cs="Times New Roman"/>
        </w:rPr>
        <w:t xml:space="preserve"> e pede a manutenção da desclassificação da concorrente.</w:t>
      </w:r>
    </w:p>
    <w:p w14:paraId="2EE5DAB6" w14:textId="152E5057" w:rsidR="00D25085" w:rsidRDefault="005369C1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 xml:space="preserve">O pregoeiro em busca de elucidar os fatos mencionados na fase recursal, </w:t>
      </w:r>
      <w:r w:rsidR="00D25085">
        <w:rPr>
          <w:rFonts w:cs="Times New Roman"/>
        </w:rPr>
        <w:t>analisou os autos do processo licitatório nº 44/2020 de Pregão Presencial nº 09/2020 que tratou do mesmo tema, com as mesmas empresas envolvidas e constatou que este problema se repetiu, com os mesmos documentos já analisados naquela ocasião, onde restou comprovado que a empresa não atendeu e não atende as exigências de qualificação do objeto e por consequência o edital</w:t>
      </w:r>
      <w:r>
        <w:rPr>
          <w:rFonts w:cs="Times New Roman"/>
        </w:rPr>
        <w:t xml:space="preserve">. </w:t>
      </w:r>
      <w:r w:rsidR="00D25085">
        <w:rPr>
          <w:rFonts w:cs="Times New Roman"/>
        </w:rPr>
        <w:t>Verificou-se também que a empresa recorrente, na época de realização daquele processo, fez representação junto ao Tribunal de Contas do Estado do Rio Grande do Sul e este após análise decidiu indeferir o requerimento e arquivou o processo.</w:t>
      </w:r>
    </w:p>
    <w:p w14:paraId="7B1FCD71" w14:textId="1C896C06" w:rsidR="005369C1" w:rsidRDefault="003F3EB0" w:rsidP="003F3EB0">
      <w:pPr>
        <w:spacing w:after="0" w:line="24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 xml:space="preserve">Após </w:t>
      </w:r>
      <w:r w:rsidR="005369C1">
        <w:rPr>
          <w:rFonts w:cs="Times New Roman"/>
        </w:rPr>
        <w:t xml:space="preserve">a </w:t>
      </w:r>
      <w:r w:rsidR="00D25085">
        <w:rPr>
          <w:rFonts w:cs="Times New Roman"/>
        </w:rPr>
        <w:t xml:space="preserve">análise, pregoeiro e equipe de apoio entenderam que a </w:t>
      </w:r>
      <w:r w:rsidR="005369C1">
        <w:rPr>
          <w:rFonts w:cs="Times New Roman"/>
        </w:rPr>
        <w:t>empresa recorrente não apresentou documentos suficientes para qualificação de sua proposta, sugerindo a manutenção de sua desclassificação.</w:t>
      </w:r>
    </w:p>
    <w:p w14:paraId="003A11EF" w14:textId="77777777" w:rsidR="005369C1" w:rsidRDefault="005369C1" w:rsidP="003F3EB0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Nada mais havendo, foi encerrada a reunião e lavrada a presente ata.</w:t>
      </w:r>
    </w:p>
    <w:p w14:paraId="4ECEA430" w14:textId="77777777" w:rsidR="005369C1" w:rsidRDefault="005369C1" w:rsidP="003F3EB0">
      <w:pPr>
        <w:spacing w:after="0" w:line="240" w:lineRule="auto"/>
        <w:rPr>
          <w:rFonts w:cs="Times New Roman"/>
        </w:rPr>
      </w:pPr>
    </w:p>
    <w:p w14:paraId="687D9F47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365446DA" w14:textId="575886D4" w:rsidR="005369C1" w:rsidRDefault="005369C1" w:rsidP="003F3EB0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Anta Gorda, </w:t>
      </w:r>
      <w:r w:rsidR="003F3EB0">
        <w:rPr>
          <w:rFonts w:cs="Times New Roman"/>
        </w:rPr>
        <w:t>12</w:t>
      </w:r>
      <w:r>
        <w:rPr>
          <w:rFonts w:cs="Times New Roman"/>
        </w:rPr>
        <w:t xml:space="preserve"> de setembro de 202</w:t>
      </w:r>
      <w:r w:rsidR="003F3EB0">
        <w:rPr>
          <w:rFonts w:cs="Times New Roman"/>
        </w:rPr>
        <w:t>3</w:t>
      </w:r>
    </w:p>
    <w:p w14:paraId="5A2EEDCA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55653AFE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27950F98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1C841496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12167438" w14:textId="77777777" w:rsidR="005369C1" w:rsidRDefault="005369C1" w:rsidP="003F3EB0">
      <w:pPr>
        <w:spacing w:after="0" w:line="240" w:lineRule="auto"/>
        <w:jc w:val="right"/>
        <w:rPr>
          <w:rFonts w:cs="Times New Roman"/>
        </w:rPr>
      </w:pPr>
    </w:p>
    <w:p w14:paraId="027544E4" w14:textId="67D1B146" w:rsidR="005369C1" w:rsidRPr="00102116" w:rsidRDefault="005369C1" w:rsidP="003F3EB0">
      <w:pPr>
        <w:spacing w:after="0" w:line="240" w:lineRule="auto"/>
        <w:jc w:val="both"/>
      </w:pPr>
      <w:r>
        <w:rPr>
          <w:rFonts w:cs="Times New Roman"/>
        </w:rPr>
        <w:t>Mateus Pianezzola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3F3EB0">
        <w:rPr>
          <w:rFonts w:cs="Times New Roman"/>
        </w:rPr>
        <w:t>Ian Ricardo Machado</w:t>
      </w:r>
      <w:r w:rsidR="003F3EB0">
        <w:rPr>
          <w:rFonts w:cs="Times New Roman"/>
        </w:rPr>
        <w:tab/>
      </w:r>
      <w:r w:rsidR="003F3EB0">
        <w:rPr>
          <w:rFonts w:cs="Times New Roman"/>
        </w:rPr>
        <w:tab/>
      </w:r>
      <w:r w:rsidR="003F3EB0">
        <w:rPr>
          <w:rFonts w:cs="Times New Roman"/>
        </w:rPr>
        <w:tab/>
        <w:t>Patricia Cavagnoli</w:t>
      </w:r>
    </w:p>
    <w:p w14:paraId="67E0894F" w14:textId="77777777" w:rsidR="005369C1" w:rsidRDefault="005369C1" w:rsidP="003F3EB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009B88" w14:textId="77777777" w:rsidR="00417D13" w:rsidRPr="00DE0E16" w:rsidRDefault="00417D13" w:rsidP="003F3EB0">
      <w:pPr>
        <w:spacing w:after="0" w:line="240" w:lineRule="auto"/>
      </w:pPr>
    </w:p>
    <w:sectPr w:rsidR="00417D13" w:rsidRPr="00DE0E16" w:rsidSect="005369C1">
      <w:headerReference w:type="default" r:id="rId8"/>
      <w:footerReference w:type="default" r:id="rId9"/>
      <w:pgSz w:w="11906" w:h="16838"/>
      <w:pgMar w:top="1985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B557" w14:textId="77777777" w:rsidR="003D1939" w:rsidRDefault="003D1939" w:rsidP="00E128FB">
      <w:pPr>
        <w:spacing w:after="0" w:line="240" w:lineRule="auto"/>
      </w:pPr>
      <w:r>
        <w:separator/>
      </w:r>
    </w:p>
  </w:endnote>
  <w:endnote w:type="continuationSeparator" w:id="0">
    <w:p w14:paraId="1B0DC5CE" w14:textId="77777777" w:rsidR="003D1939" w:rsidRDefault="003D1939" w:rsidP="00E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F546" w14:textId="77777777" w:rsidR="00E128FB" w:rsidRPr="00FC56BB" w:rsidRDefault="00E128FB" w:rsidP="00E128FB">
    <w:pPr>
      <w:pStyle w:val="Ttulo1"/>
      <w:tabs>
        <w:tab w:val="left" w:pos="7035"/>
      </w:tabs>
      <w:spacing w:before="0"/>
      <w:jc w:val="center"/>
      <w:rPr>
        <w:sz w:val="16"/>
      </w:rPr>
    </w:pPr>
    <w:r>
      <w:rPr>
        <w:sz w:val="16"/>
      </w:rPr>
      <w:t xml:space="preserve">(51) </w:t>
    </w:r>
    <w:r w:rsidRPr="00FC56BB">
      <w:rPr>
        <w:sz w:val="16"/>
      </w:rPr>
      <w:t>3756.1149</w:t>
    </w:r>
  </w:p>
  <w:p w14:paraId="5BE320E5" w14:textId="77777777" w:rsidR="00E128FB" w:rsidRPr="00FC56BB" w:rsidRDefault="00000000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hyperlink r:id="rId1" w:history="1">
      <w:r w:rsidR="00E128FB" w:rsidRPr="00FC56BB">
        <w:rPr>
          <w:rStyle w:val="Hyperlink"/>
          <w:b/>
          <w:w w:val="105"/>
          <w:sz w:val="16"/>
        </w:rPr>
        <w:t>oficialdegabinete@antagorda.rs.gov.br</w:t>
      </w:r>
    </w:hyperlink>
  </w:p>
  <w:p w14:paraId="3371E050" w14:textId="77777777" w:rsidR="00E128FB" w:rsidRPr="00FC56BB" w:rsidRDefault="00E128FB" w:rsidP="00E128FB">
    <w:pPr>
      <w:pStyle w:val="Corpodetexto"/>
      <w:tabs>
        <w:tab w:val="right" w:pos="8504"/>
      </w:tabs>
      <w:ind w:left="101"/>
      <w:jc w:val="center"/>
      <w:rPr>
        <w:b/>
        <w:sz w:val="16"/>
      </w:rPr>
    </w:pPr>
    <w:r w:rsidRPr="00FC56BB">
      <w:rPr>
        <w:b/>
        <w:sz w:val="16"/>
      </w:rPr>
      <w:t>Rua Pe. Hermínio Catelli, 659 | Anta Gorda/RS | CEP 95980-000</w:t>
    </w:r>
  </w:p>
  <w:p w14:paraId="32B72A51" w14:textId="77777777" w:rsidR="00E128FB" w:rsidRPr="00FC56BB" w:rsidRDefault="00000000" w:rsidP="00E128FB">
    <w:pPr>
      <w:spacing w:after="0"/>
      <w:ind w:left="102"/>
      <w:jc w:val="center"/>
      <w:rPr>
        <w:b/>
        <w:sz w:val="18"/>
      </w:rPr>
    </w:pPr>
    <w:hyperlink r:id="rId2" w:history="1">
      <w:r w:rsidR="00E128FB" w:rsidRPr="00FC56BB">
        <w:rPr>
          <w:rStyle w:val="Hyperlink"/>
          <w:b/>
          <w:w w:val="105"/>
          <w:sz w:val="18"/>
        </w:rPr>
        <w:t>www.antagorda.rs.gov.br</w:t>
      </w:r>
    </w:hyperlink>
  </w:p>
  <w:p w14:paraId="37DF2351" w14:textId="77777777" w:rsidR="00E128FB" w:rsidRDefault="00E128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E78F" w14:textId="77777777" w:rsidR="003D1939" w:rsidRDefault="003D1939" w:rsidP="00E128FB">
      <w:pPr>
        <w:spacing w:after="0" w:line="240" w:lineRule="auto"/>
      </w:pPr>
      <w:r>
        <w:separator/>
      </w:r>
    </w:p>
  </w:footnote>
  <w:footnote w:type="continuationSeparator" w:id="0">
    <w:p w14:paraId="1818251F" w14:textId="77777777" w:rsidR="003D1939" w:rsidRDefault="003D1939" w:rsidP="00E1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E49" w14:textId="77777777" w:rsidR="00E128FB" w:rsidRDefault="00E128FB" w:rsidP="00E128F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D1BC4B" wp14:editId="52318494">
          <wp:extent cx="877824" cy="818311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63" cy="8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B9772" w14:textId="77777777" w:rsidR="00E128FB" w:rsidRPr="00757B8E" w:rsidRDefault="00E128FB" w:rsidP="00E128FB">
    <w:pPr>
      <w:pStyle w:val="Cabealho"/>
      <w:jc w:val="center"/>
      <w:rPr>
        <w:b/>
        <w:sz w:val="20"/>
      </w:rPr>
    </w:pPr>
    <w:r w:rsidRPr="00757B8E">
      <w:rPr>
        <w:b/>
        <w:sz w:val="20"/>
      </w:rPr>
      <w:t xml:space="preserve">PREFEITURA MUNICIPAL </w:t>
    </w:r>
    <w:r w:rsidRPr="00757B8E">
      <w:rPr>
        <w:b/>
        <w:sz w:val="20"/>
      </w:rPr>
      <w:br/>
      <w:t xml:space="preserve">  ANTA GORDA- RS</w:t>
    </w:r>
  </w:p>
  <w:p w14:paraId="314DAA7C" w14:textId="77777777" w:rsidR="00E128FB" w:rsidRDefault="00E128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249"/>
    <w:multiLevelType w:val="hybridMultilevel"/>
    <w:tmpl w:val="66648D2C"/>
    <w:lvl w:ilvl="0" w:tplc="A93E251E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8552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10B7"/>
    <w:rsid w:val="0000219E"/>
    <w:rsid w:val="00010944"/>
    <w:rsid w:val="0004030F"/>
    <w:rsid w:val="00042CDD"/>
    <w:rsid w:val="000620EE"/>
    <w:rsid w:val="000765B7"/>
    <w:rsid w:val="000803E1"/>
    <w:rsid w:val="000907FF"/>
    <w:rsid w:val="00091FD0"/>
    <w:rsid w:val="000A1ADD"/>
    <w:rsid w:val="000A1D82"/>
    <w:rsid w:val="000A5B89"/>
    <w:rsid w:val="000A6567"/>
    <w:rsid w:val="000B5B53"/>
    <w:rsid w:val="000C3E55"/>
    <w:rsid w:val="000C54C5"/>
    <w:rsid w:val="000D1CA0"/>
    <w:rsid w:val="000D4EE7"/>
    <w:rsid w:val="000E788A"/>
    <w:rsid w:val="00103EBE"/>
    <w:rsid w:val="00106EBF"/>
    <w:rsid w:val="001157CB"/>
    <w:rsid w:val="0014527A"/>
    <w:rsid w:val="0015652B"/>
    <w:rsid w:val="00185720"/>
    <w:rsid w:val="00194494"/>
    <w:rsid w:val="00195045"/>
    <w:rsid w:val="001A0DBA"/>
    <w:rsid w:val="001A7C54"/>
    <w:rsid w:val="001A7DF1"/>
    <w:rsid w:val="001B5019"/>
    <w:rsid w:val="001C095C"/>
    <w:rsid w:val="001C0BA4"/>
    <w:rsid w:val="001E4F41"/>
    <w:rsid w:val="001F15F2"/>
    <w:rsid w:val="0021221A"/>
    <w:rsid w:val="002272AA"/>
    <w:rsid w:val="00231D29"/>
    <w:rsid w:val="00257DE5"/>
    <w:rsid w:val="00260D7D"/>
    <w:rsid w:val="002721FD"/>
    <w:rsid w:val="00276A8B"/>
    <w:rsid w:val="00276B6B"/>
    <w:rsid w:val="002C15E2"/>
    <w:rsid w:val="002C2834"/>
    <w:rsid w:val="002C6FCB"/>
    <w:rsid w:val="00303309"/>
    <w:rsid w:val="00306A1A"/>
    <w:rsid w:val="0031036A"/>
    <w:rsid w:val="00310799"/>
    <w:rsid w:val="00314672"/>
    <w:rsid w:val="00335ED9"/>
    <w:rsid w:val="00340F1C"/>
    <w:rsid w:val="00346C7C"/>
    <w:rsid w:val="00355E45"/>
    <w:rsid w:val="003626F7"/>
    <w:rsid w:val="00382A77"/>
    <w:rsid w:val="003844FD"/>
    <w:rsid w:val="00395BB5"/>
    <w:rsid w:val="003A4669"/>
    <w:rsid w:val="003A54CA"/>
    <w:rsid w:val="003B3C19"/>
    <w:rsid w:val="003C3EC0"/>
    <w:rsid w:val="003C602C"/>
    <w:rsid w:val="003D1939"/>
    <w:rsid w:val="003D4260"/>
    <w:rsid w:val="003E6C8F"/>
    <w:rsid w:val="003F2672"/>
    <w:rsid w:val="003F3EB0"/>
    <w:rsid w:val="00417D13"/>
    <w:rsid w:val="00420CDC"/>
    <w:rsid w:val="00424293"/>
    <w:rsid w:val="00434C78"/>
    <w:rsid w:val="004371D2"/>
    <w:rsid w:val="00454F07"/>
    <w:rsid w:val="00455FAF"/>
    <w:rsid w:val="004826F1"/>
    <w:rsid w:val="00487F67"/>
    <w:rsid w:val="004941AE"/>
    <w:rsid w:val="004D312D"/>
    <w:rsid w:val="004E5112"/>
    <w:rsid w:val="005003FA"/>
    <w:rsid w:val="0051201D"/>
    <w:rsid w:val="005167CF"/>
    <w:rsid w:val="005369C1"/>
    <w:rsid w:val="005464B8"/>
    <w:rsid w:val="005469E4"/>
    <w:rsid w:val="00556811"/>
    <w:rsid w:val="00556961"/>
    <w:rsid w:val="00573071"/>
    <w:rsid w:val="00595B99"/>
    <w:rsid w:val="005A29D2"/>
    <w:rsid w:val="005A71EA"/>
    <w:rsid w:val="005B2455"/>
    <w:rsid w:val="005C0898"/>
    <w:rsid w:val="005C78C0"/>
    <w:rsid w:val="005D5194"/>
    <w:rsid w:val="005D5E27"/>
    <w:rsid w:val="005E04B2"/>
    <w:rsid w:val="00601974"/>
    <w:rsid w:val="00605E9B"/>
    <w:rsid w:val="006143D4"/>
    <w:rsid w:val="00632CBE"/>
    <w:rsid w:val="00637C10"/>
    <w:rsid w:val="00643376"/>
    <w:rsid w:val="00654C86"/>
    <w:rsid w:val="00655D29"/>
    <w:rsid w:val="00656275"/>
    <w:rsid w:val="0068278E"/>
    <w:rsid w:val="0069440F"/>
    <w:rsid w:val="007030CA"/>
    <w:rsid w:val="00725125"/>
    <w:rsid w:val="00750576"/>
    <w:rsid w:val="007575EC"/>
    <w:rsid w:val="00757B8E"/>
    <w:rsid w:val="007679B4"/>
    <w:rsid w:val="007715C9"/>
    <w:rsid w:val="00786D65"/>
    <w:rsid w:val="00797CCE"/>
    <w:rsid w:val="007A6F90"/>
    <w:rsid w:val="007A7037"/>
    <w:rsid w:val="007B2DE1"/>
    <w:rsid w:val="007C780D"/>
    <w:rsid w:val="007D7E79"/>
    <w:rsid w:val="007E1A90"/>
    <w:rsid w:val="007E47D7"/>
    <w:rsid w:val="00803658"/>
    <w:rsid w:val="00817A7B"/>
    <w:rsid w:val="00851526"/>
    <w:rsid w:val="00856FFA"/>
    <w:rsid w:val="00863E0A"/>
    <w:rsid w:val="00863E0E"/>
    <w:rsid w:val="008757FF"/>
    <w:rsid w:val="00877432"/>
    <w:rsid w:val="00887C09"/>
    <w:rsid w:val="0089092D"/>
    <w:rsid w:val="008B6EE7"/>
    <w:rsid w:val="008C5620"/>
    <w:rsid w:val="00913575"/>
    <w:rsid w:val="0092572C"/>
    <w:rsid w:val="00943023"/>
    <w:rsid w:val="00951AE1"/>
    <w:rsid w:val="00951F53"/>
    <w:rsid w:val="009575BE"/>
    <w:rsid w:val="00992C2B"/>
    <w:rsid w:val="00992D7D"/>
    <w:rsid w:val="009973D3"/>
    <w:rsid w:val="009B12EC"/>
    <w:rsid w:val="009B34F2"/>
    <w:rsid w:val="009B656D"/>
    <w:rsid w:val="009C00C0"/>
    <w:rsid w:val="009C1F4B"/>
    <w:rsid w:val="009D0BCC"/>
    <w:rsid w:val="009D13C6"/>
    <w:rsid w:val="009E2C37"/>
    <w:rsid w:val="009E4500"/>
    <w:rsid w:val="009E4DE6"/>
    <w:rsid w:val="009E7868"/>
    <w:rsid w:val="00A02399"/>
    <w:rsid w:val="00A0479A"/>
    <w:rsid w:val="00A126EA"/>
    <w:rsid w:val="00A1668C"/>
    <w:rsid w:val="00A6428C"/>
    <w:rsid w:val="00A667ED"/>
    <w:rsid w:val="00A87632"/>
    <w:rsid w:val="00AB6E2B"/>
    <w:rsid w:val="00AC655F"/>
    <w:rsid w:val="00AD38E8"/>
    <w:rsid w:val="00AE10CF"/>
    <w:rsid w:val="00AE421D"/>
    <w:rsid w:val="00AF5326"/>
    <w:rsid w:val="00B0694C"/>
    <w:rsid w:val="00B305B6"/>
    <w:rsid w:val="00B30CAC"/>
    <w:rsid w:val="00B66F3F"/>
    <w:rsid w:val="00B731A1"/>
    <w:rsid w:val="00BB2CA8"/>
    <w:rsid w:val="00BC29FA"/>
    <w:rsid w:val="00BC3F2B"/>
    <w:rsid w:val="00BD4CA2"/>
    <w:rsid w:val="00BF428B"/>
    <w:rsid w:val="00C01F8F"/>
    <w:rsid w:val="00C037F6"/>
    <w:rsid w:val="00C10CC1"/>
    <w:rsid w:val="00C11A2F"/>
    <w:rsid w:val="00C13B10"/>
    <w:rsid w:val="00C306ED"/>
    <w:rsid w:val="00C40B36"/>
    <w:rsid w:val="00C6407B"/>
    <w:rsid w:val="00C717F3"/>
    <w:rsid w:val="00C764A3"/>
    <w:rsid w:val="00C84F89"/>
    <w:rsid w:val="00CD2CC1"/>
    <w:rsid w:val="00CE0515"/>
    <w:rsid w:val="00CF0E8C"/>
    <w:rsid w:val="00CF122D"/>
    <w:rsid w:val="00CF2BB2"/>
    <w:rsid w:val="00D25085"/>
    <w:rsid w:val="00D47110"/>
    <w:rsid w:val="00D55008"/>
    <w:rsid w:val="00D55CC4"/>
    <w:rsid w:val="00D56709"/>
    <w:rsid w:val="00D713A6"/>
    <w:rsid w:val="00D75482"/>
    <w:rsid w:val="00DA3687"/>
    <w:rsid w:val="00DA3FF3"/>
    <w:rsid w:val="00DA7B5C"/>
    <w:rsid w:val="00DC6827"/>
    <w:rsid w:val="00DC6AF5"/>
    <w:rsid w:val="00DD193F"/>
    <w:rsid w:val="00DE0E16"/>
    <w:rsid w:val="00DE53FE"/>
    <w:rsid w:val="00DF0AB5"/>
    <w:rsid w:val="00DF720D"/>
    <w:rsid w:val="00E128FB"/>
    <w:rsid w:val="00E1771D"/>
    <w:rsid w:val="00E213C5"/>
    <w:rsid w:val="00E24654"/>
    <w:rsid w:val="00E5147A"/>
    <w:rsid w:val="00E63080"/>
    <w:rsid w:val="00E9410F"/>
    <w:rsid w:val="00EB0782"/>
    <w:rsid w:val="00ED3BF9"/>
    <w:rsid w:val="00F04EDA"/>
    <w:rsid w:val="00F2609E"/>
    <w:rsid w:val="00F27874"/>
    <w:rsid w:val="00F30CFF"/>
    <w:rsid w:val="00F345F8"/>
    <w:rsid w:val="00F42714"/>
    <w:rsid w:val="00F445E9"/>
    <w:rsid w:val="00F6259D"/>
    <w:rsid w:val="00F64672"/>
    <w:rsid w:val="00F672E2"/>
    <w:rsid w:val="00F70893"/>
    <w:rsid w:val="00F738BA"/>
    <w:rsid w:val="00F93451"/>
    <w:rsid w:val="00F96948"/>
    <w:rsid w:val="00FB16D6"/>
    <w:rsid w:val="00FB4AFD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F7C46"/>
  <w15:docId w15:val="{9DAB4114-3D7E-45AD-9E58-C153FBF6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E128FB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B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9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8FB"/>
  </w:style>
  <w:style w:type="paragraph" w:styleId="Rodap">
    <w:name w:val="footer"/>
    <w:basedOn w:val="Normal"/>
    <w:link w:val="RodapChar"/>
    <w:uiPriority w:val="99"/>
    <w:unhideWhenUsed/>
    <w:rsid w:val="00E12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8FB"/>
  </w:style>
  <w:style w:type="character" w:customStyle="1" w:styleId="Ttulo1Char">
    <w:name w:val="Título 1 Char"/>
    <w:basedOn w:val="Fontepargpadro"/>
    <w:link w:val="Ttulo1"/>
    <w:uiPriority w:val="1"/>
    <w:rsid w:val="00E128FB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E128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E128FB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E1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agorda.rs.gov.br" TargetMode="External"/><Relationship Id="rId1" Type="http://schemas.openxmlformats.org/officeDocument/2006/relationships/hyperlink" Target="mailto:oficialdegabinete@antagord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FAC4C2-5868-4FC5-9F22-C63A9F27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6</cp:revision>
  <cp:lastPrinted>2019-08-22T13:31:00Z</cp:lastPrinted>
  <dcterms:created xsi:type="dcterms:W3CDTF">2023-09-11T14:06:00Z</dcterms:created>
  <dcterms:modified xsi:type="dcterms:W3CDTF">2023-09-11T20:07:00Z</dcterms:modified>
</cp:coreProperties>
</file>