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F423" w14:textId="77777777" w:rsidR="00806E09" w:rsidRDefault="00806E09" w:rsidP="00806E09">
      <w:pPr>
        <w:jc w:val="center"/>
        <w:rPr>
          <w:rFonts w:cs="Times New Roman"/>
          <w:b/>
        </w:rPr>
      </w:pPr>
    </w:p>
    <w:p w14:paraId="3DE98171" w14:textId="0C06014F" w:rsidR="00806E09" w:rsidRPr="00291788" w:rsidRDefault="00806E09" w:rsidP="00806E09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91788">
        <w:rPr>
          <w:rFonts w:cs="Times New Roman"/>
          <w:b/>
        </w:rPr>
        <w:t xml:space="preserve">ANEXO VI – </w:t>
      </w:r>
      <w:r w:rsidRPr="00291788">
        <w:rPr>
          <w:rStyle w:val="fontstyle01"/>
          <w:rFonts w:ascii="Times New Roman" w:hAnsi="Times New Roman" w:cs="Times New Roman"/>
          <w:sz w:val="24"/>
          <w:szCs w:val="24"/>
        </w:rPr>
        <w:t>PARECER JURÍDICO</w:t>
      </w:r>
    </w:p>
    <w:p w14:paraId="42179F5F" w14:textId="77777777" w:rsidR="00806E09" w:rsidRPr="00291788" w:rsidRDefault="00806E09" w:rsidP="00806E09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9D8C1" w14:textId="77777777" w:rsidR="00806E09" w:rsidRPr="00291788" w:rsidRDefault="00806E09" w:rsidP="00806E09">
      <w:pPr>
        <w:spacing w:line="276" w:lineRule="auto"/>
        <w:jc w:val="both"/>
        <w:rPr>
          <w:rFonts w:cs="Times New Roman"/>
        </w:rPr>
      </w:pPr>
      <w:r w:rsidRPr="00291788">
        <w:rPr>
          <w:rFonts w:cs="Times New Roman"/>
          <w:b/>
          <w:bCs/>
        </w:rPr>
        <w:t xml:space="preserve">ASSUNTO: </w:t>
      </w:r>
      <w:r w:rsidRPr="00291788">
        <w:rPr>
          <w:rFonts w:cs="Times New Roman"/>
        </w:rPr>
        <w:t>Análise Jurídica da viabilidade da Licitação na modalidade Pregão Presencial.</w:t>
      </w:r>
    </w:p>
    <w:p w14:paraId="6F0D2466" w14:textId="77777777" w:rsidR="00806E09" w:rsidRPr="00291788" w:rsidRDefault="00806E09" w:rsidP="00806E09">
      <w:pPr>
        <w:spacing w:line="276" w:lineRule="auto"/>
        <w:jc w:val="both"/>
        <w:rPr>
          <w:rFonts w:cs="Times New Roman"/>
        </w:rPr>
      </w:pPr>
    </w:p>
    <w:p w14:paraId="663A5769" w14:textId="77777777" w:rsidR="00806E09" w:rsidRPr="00291788" w:rsidRDefault="00806E09" w:rsidP="00806E09">
      <w:pPr>
        <w:spacing w:line="276" w:lineRule="auto"/>
        <w:jc w:val="both"/>
        <w:rPr>
          <w:rFonts w:cs="Times New Roman"/>
          <w:b/>
          <w:bCs/>
        </w:rPr>
      </w:pPr>
      <w:r w:rsidRPr="00291788">
        <w:rPr>
          <w:rFonts w:cs="Times New Roman"/>
          <w:b/>
          <w:bCs/>
        </w:rPr>
        <w:t>I – INTRODUÇÃO</w:t>
      </w:r>
    </w:p>
    <w:p w14:paraId="673848CF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</w:p>
    <w:p w14:paraId="754E1C17" w14:textId="77777777" w:rsidR="00806E09" w:rsidRPr="00291788" w:rsidRDefault="00806E09" w:rsidP="00806E09">
      <w:pPr>
        <w:spacing w:line="276" w:lineRule="auto"/>
        <w:jc w:val="both"/>
      </w:pPr>
      <w:r w:rsidRPr="00291788">
        <w:t>O presente parecer visa analisar a legalidade e a regularidade da escolha da modalidade Pregão Presencial para a contratação de bens ou serviços comuns no âmbito da Administração Pública, nos termos da legislação vigente, em especial a Lei nº 14.133/2021, bem como o Decreto Federal nº 10.024/2019, que regulamenta o pregão na forma eletrônica e, subsidiariamente, a modalidade presencial.</w:t>
      </w:r>
    </w:p>
    <w:p w14:paraId="509897F7" w14:textId="77777777" w:rsidR="00806E09" w:rsidRPr="00291788" w:rsidRDefault="00806E09" w:rsidP="00806E09">
      <w:pPr>
        <w:spacing w:line="276" w:lineRule="auto"/>
        <w:jc w:val="both"/>
      </w:pPr>
    </w:p>
    <w:p w14:paraId="090AB115" w14:textId="77777777" w:rsidR="00806E09" w:rsidRPr="00291788" w:rsidRDefault="00806E09" w:rsidP="00806E09">
      <w:pPr>
        <w:spacing w:line="276" w:lineRule="auto"/>
        <w:jc w:val="both"/>
      </w:pPr>
      <w:r w:rsidRPr="00291788">
        <w:t>A opção pela modalidade Pregão Presencial decorre da natureza do objeto licitado, enquadrado como bem ou serviço comum, caracterizado por especificações usuais no mercado, cuja definição no edital permite a comparação objetiva das propostas, promovendo a seleção da oferta mais vantajosa para a Administração Pública.</w:t>
      </w:r>
    </w:p>
    <w:p w14:paraId="7A3817A4" w14:textId="77777777" w:rsidR="00806E09" w:rsidRPr="00291788" w:rsidRDefault="00806E09" w:rsidP="00806E09">
      <w:pPr>
        <w:spacing w:line="276" w:lineRule="auto"/>
        <w:jc w:val="both"/>
      </w:pPr>
    </w:p>
    <w:p w14:paraId="54EFE470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  <w:r w:rsidRPr="00291788">
        <w:rPr>
          <w:b/>
          <w:bCs/>
        </w:rPr>
        <w:t>II – DO ENQUADRAMENTO LEGAL</w:t>
      </w:r>
    </w:p>
    <w:p w14:paraId="121B9241" w14:textId="77777777" w:rsidR="00806E09" w:rsidRPr="00291788" w:rsidRDefault="00806E09" w:rsidP="00806E09">
      <w:pPr>
        <w:spacing w:line="276" w:lineRule="auto"/>
        <w:jc w:val="both"/>
      </w:pPr>
    </w:p>
    <w:p w14:paraId="46C67ADD" w14:textId="77777777" w:rsidR="00806E09" w:rsidRPr="00291788" w:rsidRDefault="00806E09" w:rsidP="00806E09">
      <w:pPr>
        <w:spacing w:line="276" w:lineRule="auto"/>
        <w:jc w:val="both"/>
      </w:pPr>
      <w:r w:rsidRPr="00291788">
        <w:t>A Lei nº 14.133/2021 prevê expressamente que a modalidade de pregão deve ser utilizada nas licitações destinadas à aquisição de bens e serviços comuns, independentemente do valor estimado da contratação. O pregão, portanto, é caracterizado pela simplificação do procedimento, a inversão das fases de habilitação e julgamento e a promoção da competitividade ampla, elementos que visam garantir a celeridade e a economicidade das contratações públicas.</w:t>
      </w:r>
    </w:p>
    <w:p w14:paraId="4764536A" w14:textId="77777777" w:rsidR="00806E09" w:rsidRPr="00291788" w:rsidRDefault="00806E09" w:rsidP="00806E09">
      <w:pPr>
        <w:spacing w:line="276" w:lineRule="auto"/>
        <w:jc w:val="both"/>
      </w:pPr>
    </w:p>
    <w:p w14:paraId="6EE0EF42" w14:textId="77777777" w:rsidR="00806E09" w:rsidRPr="00291788" w:rsidRDefault="00806E09" w:rsidP="00806E09">
      <w:pPr>
        <w:spacing w:line="276" w:lineRule="auto"/>
        <w:jc w:val="both"/>
      </w:pPr>
      <w:r w:rsidRPr="00291788">
        <w:t>Embora a legislação atualmente privilegie o Pregão Eletrônico como forma preferencial de contratação, admite-se a utilização do Pregão Presencial em situações específicas, conforme autorizado por regulamentação própria, especialmente nos casos em que a natureza do objeto ou as condições locais inviabilizem o uso do meio eletrônico, hipótese em que se deve justificar expressamente essa opção nos autos do processo licitatório.</w:t>
      </w:r>
    </w:p>
    <w:p w14:paraId="4647AA71" w14:textId="77777777" w:rsidR="00806E09" w:rsidRPr="00291788" w:rsidRDefault="00806E09" w:rsidP="00806E09">
      <w:pPr>
        <w:spacing w:line="276" w:lineRule="auto"/>
        <w:jc w:val="both"/>
      </w:pPr>
    </w:p>
    <w:p w14:paraId="46628771" w14:textId="77777777" w:rsidR="00806E09" w:rsidRPr="00291788" w:rsidRDefault="00806E09" w:rsidP="00806E09">
      <w:pPr>
        <w:spacing w:line="276" w:lineRule="auto"/>
        <w:jc w:val="both"/>
      </w:pPr>
      <w:r w:rsidRPr="00291788">
        <w:t>Nesse sentido, oportuno ressaltar que o artigo 176 da Lei Federal nº 14.133/2021 concede aos Municípios com até 20.000 (vinte mil) habitantes, como é o caso de Anta Gorda/RS, o prazo de até 6 (seis) anos, contados da data de publicação da Lei, para adequação à obrigatoriedade da utilização do meio eletrônico, mantendo-se, até lá, a possibilidade de realização do pregão na forma presencial.</w:t>
      </w:r>
    </w:p>
    <w:p w14:paraId="4CF2E473" w14:textId="77777777" w:rsidR="00806E09" w:rsidRPr="00291788" w:rsidRDefault="00806E09" w:rsidP="00806E09">
      <w:pPr>
        <w:spacing w:line="276" w:lineRule="auto"/>
        <w:jc w:val="both"/>
      </w:pPr>
    </w:p>
    <w:p w14:paraId="1D32E6EC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  <w:r w:rsidRPr="00291788">
        <w:rPr>
          <w:b/>
          <w:bCs/>
        </w:rPr>
        <w:t>III – DA VIABILIDADE JURÍDICA DO PREGÃO PRESENCIAL</w:t>
      </w:r>
    </w:p>
    <w:p w14:paraId="44D1A8BA" w14:textId="77777777" w:rsidR="00806E09" w:rsidRPr="00291788" w:rsidRDefault="00806E09" w:rsidP="00806E09">
      <w:pPr>
        <w:spacing w:line="276" w:lineRule="auto"/>
        <w:jc w:val="both"/>
      </w:pPr>
    </w:p>
    <w:p w14:paraId="3A42BBDE" w14:textId="77777777" w:rsidR="00806E09" w:rsidRPr="00291788" w:rsidRDefault="00806E09" w:rsidP="00806E09">
      <w:pPr>
        <w:spacing w:line="276" w:lineRule="auto"/>
        <w:jc w:val="both"/>
      </w:pPr>
      <w:r w:rsidRPr="00291788">
        <w:t xml:space="preserve">A análise do processo demonstra que a utilização do Pregão Presencial está juridicamente amparada, considerando que: a) A natureza do objeto da contratação é de bem ou serviço comum, </w:t>
      </w:r>
      <w:r w:rsidRPr="00291788">
        <w:lastRenderedPageBreak/>
        <w:t>passível de definição objetiva, sem necessidade de avaliações técnicas subjetivas complexas, permitindo a aferição de vantagens exclusivamente a partir dos critérios de menor preço ou melhor proposta; b) O procedimento escolhido assegura a ampla competitividade, uma vez que a publicidade do certame, a igualdade de condições entre os licitantes e a transparência dos atos são plenamente garantidos; c) A presença física dos interessados durante a sessão pública possibilita o exercício do contraditório, a participação ativa e o acompanhamento integral dos lances, contribuindo para a lisura do certame; d) A inversão das fases de habilitação e julgamento assegura maior celeridade ao procedimento, apenas exigindo a comprovação de regularidade documental do licitante que apresentar a proposta mais vantajosa, evitando atos processuais desnecessários e promovendo a eficiência administrativa.</w:t>
      </w:r>
    </w:p>
    <w:p w14:paraId="2D2DF463" w14:textId="77777777" w:rsidR="00806E09" w:rsidRPr="00291788" w:rsidRDefault="00806E09" w:rsidP="00806E09">
      <w:pPr>
        <w:spacing w:line="276" w:lineRule="auto"/>
        <w:jc w:val="both"/>
      </w:pPr>
    </w:p>
    <w:p w14:paraId="57055168" w14:textId="77777777" w:rsidR="00806E09" w:rsidRPr="00291788" w:rsidRDefault="00806E09" w:rsidP="00806E09">
      <w:pPr>
        <w:spacing w:line="276" w:lineRule="auto"/>
        <w:jc w:val="both"/>
      </w:pPr>
      <w:r w:rsidRPr="00291788">
        <w:t>A forma presencial também se justifica pela maior celeridade que proporciona, inibindo a apresentação de propostas insustentáveis que poderiam atrasar a tramitação na modalidade eletrônica e aumentar os custos da Administração. Destacam-se, como vantagens do pregão presencial sobre o eletrônico: a) A possibilidade de esclarecimentos imediatos durante a sessão pública; b) A facilidade de negociação direta de preços com os licitantes; c) A verificação célere das condições de habilitação e execução das propostas apresentadas.</w:t>
      </w:r>
    </w:p>
    <w:p w14:paraId="0210DBA6" w14:textId="77777777" w:rsidR="00806E09" w:rsidRDefault="00806E09" w:rsidP="00806E09">
      <w:pPr>
        <w:spacing w:line="276" w:lineRule="auto"/>
        <w:jc w:val="both"/>
      </w:pPr>
    </w:p>
    <w:p w14:paraId="5BC7331D" w14:textId="77777777" w:rsidR="00806E09" w:rsidRPr="00291788" w:rsidRDefault="00806E09" w:rsidP="00806E09">
      <w:pPr>
        <w:spacing w:line="276" w:lineRule="auto"/>
        <w:jc w:val="both"/>
      </w:pPr>
      <w:r w:rsidRPr="00291788">
        <w:t>Apesar da previsão preferencial da utilização do meio eletrônico, este implica em custos muitas vezes não mensurados, contrariando o princípio da economicidade. Nesse particular, cumpre considerar que, embora a municipalidade disponha de recursos para a realização de pregões eletrônicos, o mercado local, em sua maioria, não dispõe de tecnologia adequada ou, mesmo quando dispõe, não a utiliza, prejudicando a competitividade do certame.</w:t>
      </w:r>
    </w:p>
    <w:p w14:paraId="0400C824" w14:textId="77777777" w:rsidR="00806E09" w:rsidRPr="00291788" w:rsidRDefault="00806E09" w:rsidP="00806E09">
      <w:pPr>
        <w:spacing w:line="276" w:lineRule="auto"/>
        <w:jc w:val="both"/>
      </w:pPr>
    </w:p>
    <w:p w14:paraId="2D0AC713" w14:textId="77777777" w:rsidR="00806E09" w:rsidRPr="00291788" w:rsidRDefault="00806E09" w:rsidP="00806E09">
      <w:pPr>
        <w:spacing w:line="276" w:lineRule="auto"/>
        <w:jc w:val="both"/>
      </w:pPr>
      <w:r w:rsidRPr="00291788">
        <w:t>Além disso, a carência de estrutura tecnológica adequada torna inviável, na prática, a execução eficiente de um certame eletrônico, podendo resultar em aumento de custos e problemas logísticos, principalmente quando o objeto licitado deve ser atendido por fornecedores localizados no Município ou em sua região de abrangência.</w:t>
      </w:r>
    </w:p>
    <w:p w14:paraId="1183EE02" w14:textId="77777777" w:rsidR="00806E09" w:rsidRPr="00291788" w:rsidRDefault="00806E09" w:rsidP="00806E09">
      <w:pPr>
        <w:spacing w:line="276" w:lineRule="auto"/>
        <w:jc w:val="both"/>
      </w:pPr>
    </w:p>
    <w:p w14:paraId="0D4E8EDB" w14:textId="77777777" w:rsidR="00806E09" w:rsidRPr="00291788" w:rsidRDefault="00806E09" w:rsidP="00806E09">
      <w:pPr>
        <w:spacing w:line="276" w:lineRule="auto"/>
        <w:jc w:val="both"/>
      </w:pPr>
      <w:r w:rsidRPr="00291788">
        <w:t>Não bastasse, observa-se que diversos municípios da região estão optando pela realização de pregões na modalidade presencial, justamente para evitar os problemas comumente enfrentados no formato eletrônico, como a entrega de produtos por fornecedores de locais distantes e a demora excessiva na prestação dos serviços, situações que comprometem a continuidade e a qualidade dos serviços públicos municipais.</w:t>
      </w:r>
    </w:p>
    <w:p w14:paraId="19CB3004" w14:textId="77777777" w:rsidR="00806E09" w:rsidRPr="00291788" w:rsidRDefault="00806E09" w:rsidP="00806E09">
      <w:pPr>
        <w:spacing w:line="276" w:lineRule="auto"/>
        <w:jc w:val="both"/>
      </w:pPr>
    </w:p>
    <w:p w14:paraId="22FDD5BB" w14:textId="77777777" w:rsidR="00806E09" w:rsidRPr="00291788" w:rsidRDefault="00806E09" w:rsidP="00806E09">
      <w:pPr>
        <w:spacing w:line="276" w:lineRule="auto"/>
        <w:jc w:val="both"/>
      </w:pPr>
      <w:r w:rsidRPr="00291788">
        <w:t xml:space="preserve">Nesse sentido, merece destaque o ensinamento do Professor Dr. Jorge Ulisses </w:t>
      </w:r>
      <w:proofErr w:type="spellStart"/>
      <w:r w:rsidRPr="00291788">
        <w:t>Jacoby</w:t>
      </w:r>
      <w:proofErr w:type="spellEnd"/>
      <w:r w:rsidRPr="00291788">
        <w:t xml:space="preserve"> Fernandes, para quem:</w:t>
      </w:r>
    </w:p>
    <w:p w14:paraId="7EFD3D53" w14:textId="77777777" w:rsidR="00806E09" w:rsidRPr="00291788" w:rsidRDefault="00806E09" w:rsidP="00806E09">
      <w:pPr>
        <w:spacing w:line="276" w:lineRule="auto"/>
        <w:jc w:val="both"/>
      </w:pPr>
    </w:p>
    <w:p w14:paraId="5426838D" w14:textId="77777777" w:rsidR="00806E09" w:rsidRPr="00291788" w:rsidRDefault="00806E09" w:rsidP="00806E09">
      <w:pPr>
        <w:spacing w:line="276" w:lineRule="auto"/>
        <w:jc w:val="both"/>
      </w:pPr>
      <w:r w:rsidRPr="00291788">
        <w:t xml:space="preserve">“Sempre que o objeto requer intervenção mais ativa do pregoeiro para a motivação da disputa e a obtenção da proposta mais vantajosa e, quando o possível fornecedor, em face das condições necessárias à consecução do objeto, estiver contido numa região geográfica específica, o uso do pregão eletrônico não ampliará a disputa, ao contrário, pode resultar inclusive na perda da </w:t>
      </w:r>
      <w:r w:rsidRPr="00291788">
        <w:lastRenderedPageBreak/>
        <w:t>competitividade.”</w:t>
      </w:r>
    </w:p>
    <w:p w14:paraId="64918F5D" w14:textId="77777777" w:rsidR="00806E09" w:rsidRPr="00291788" w:rsidRDefault="00806E09" w:rsidP="00806E09">
      <w:pPr>
        <w:spacing w:line="276" w:lineRule="auto"/>
        <w:jc w:val="both"/>
      </w:pPr>
    </w:p>
    <w:p w14:paraId="3F35C624" w14:textId="77777777" w:rsidR="00806E09" w:rsidRPr="00291788" w:rsidRDefault="00806E09" w:rsidP="00806E09">
      <w:pPr>
        <w:spacing w:line="276" w:lineRule="auto"/>
        <w:jc w:val="both"/>
      </w:pPr>
      <w:r w:rsidRPr="00291788">
        <w:t>Assim, verifica-se que a escolha pela realização do Pregão Presencial não altera o resultado final do certame e, ao contrário, permite, pela interação direta do pregoeiro com os licitantes, maior redução nos preços obtidos.</w:t>
      </w:r>
    </w:p>
    <w:p w14:paraId="0CFF2760" w14:textId="77777777" w:rsidR="00806E09" w:rsidRPr="00291788" w:rsidRDefault="00806E09" w:rsidP="00806E09">
      <w:pPr>
        <w:spacing w:line="276" w:lineRule="auto"/>
        <w:jc w:val="both"/>
      </w:pPr>
    </w:p>
    <w:p w14:paraId="33964E9D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  <w:r w:rsidRPr="00291788">
        <w:rPr>
          <w:b/>
          <w:bCs/>
        </w:rPr>
        <w:t>IV – DOS PRINCÍPIOS APLICÁVEIS</w:t>
      </w:r>
    </w:p>
    <w:p w14:paraId="2852B47A" w14:textId="77777777" w:rsidR="00806E09" w:rsidRPr="00291788" w:rsidRDefault="00806E09" w:rsidP="00806E09">
      <w:pPr>
        <w:spacing w:line="276" w:lineRule="auto"/>
        <w:jc w:val="both"/>
      </w:pPr>
    </w:p>
    <w:p w14:paraId="07E28530" w14:textId="77777777" w:rsidR="00806E09" w:rsidRPr="00291788" w:rsidRDefault="00806E09" w:rsidP="00806E09">
      <w:pPr>
        <w:spacing w:line="276" w:lineRule="auto"/>
        <w:jc w:val="both"/>
      </w:pPr>
      <w:r w:rsidRPr="00291788">
        <w:t>A contratação pretendida, mediante Pregão Presencial, respeita os princípios constitucionais e infraconstitucionais que regem a atividade administrativa: a)Princípio da Legalidade: a escolha da modalidade e a condução do processo encontram respaldo na legislação vigente; b) Princípio da Eficiência: busca-se a seleção da proposta mais vantajosa por meio de procedimento célere e menos burocrático; c) Princípio da Publicidade: o edital será devidamente divulgado e a sessão pública aberta a todos os interessados; d) Princípio da Isonomia: todos os licitantes são tratados de maneira igualitária; e) Princípio da Economicidade: a escolha da modalidade visa a melhor relação custo-benefício para a Administração; f) Princípios da Razoabilidade e da Proporcionalidade: a solução adotada se mostra a mais adequada diante das peculiaridades locais.</w:t>
      </w:r>
    </w:p>
    <w:p w14:paraId="181C4640" w14:textId="77777777" w:rsidR="00806E09" w:rsidRPr="00291788" w:rsidRDefault="00806E09" w:rsidP="00806E09">
      <w:pPr>
        <w:spacing w:line="276" w:lineRule="auto"/>
        <w:jc w:val="both"/>
      </w:pPr>
    </w:p>
    <w:p w14:paraId="0FBFC77D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  <w:r w:rsidRPr="00291788">
        <w:rPr>
          <w:b/>
          <w:bCs/>
        </w:rPr>
        <w:t>V – CONCLUSÃO</w:t>
      </w:r>
    </w:p>
    <w:p w14:paraId="4B54CFC4" w14:textId="77777777" w:rsidR="00806E09" w:rsidRPr="00291788" w:rsidRDefault="00806E09" w:rsidP="00806E09">
      <w:pPr>
        <w:spacing w:line="276" w:lineRule="auto"/>
        <w:jc w:val="both"/>
      </w:pPr>
    </w:p>
    <w:p w14:paraId="0FB36560" w14:textId="77777777" w:rsidR="00806E09" w:rsidRPr="00291788" w:rsidRDefault="00806E09" w:rsidP="00806E09">
      <w:pPr>
        <w:spacing w:line="276" w:lineRule="auto"/>
        <w:jc w:val="both"/>
      </w:pPr>
      <w:r w:rsidRPr="00291788">
        <w:t>Diante do exposto, conclui-se que a escolha da modalidade Pregão Presencial para a contratação objeto do presente processo encontra respaldo jurídico na legislação vigente, respeita os princípios constitucionais e administrativos aplicáveis e configura a solução mais adequada para garantir a seleção da proposta mais vantajosa ao interesse público.</w:t>
      </w:r>
    </w:p>
    <w:p w14:paraId="7044DF2D" w14:textId="77777777" w:rsidR="00806E09" w:rsidRPr="00291788" w:rsidRDefault="00806E09" w:rsidP="00806E09">
      <w:pPr>
        <w:spacing w:line="276" w:lineRule="auto"/>
        <w:jc w:val="both"/>
      </w:pPr>
    </w:p>
    <w:p w14:paraId="1D32B03E" w14:textId="77777777" w:rsidR="00806E09" w:rsidRPr="00291788" w:rsidRDefault="00806E09" w:rsidP="00806E09">
      <w:pPr>
        <w:spacing w:line="276" w:lineRule="auto"/>
        <w:jc w:val="both"/>
      </w:pPr>
      <w:r w:rsidRPr="00291788">
        <w:t>Assim, opina-se pela regularidade jurídica do procedimento, recomendando-se o prosseguimento do certame licitatório nos termos propostos.</w:t>
      </w:r>
    </w:p>
    <w:p w14:paraId="3CA00DC5" w14:textId="77777777" w:rsidR="00806E09" w:rsidRPr="00291788" w:rsidRDefault="00806E09" w:rsidP="00806E09">
      <w:pPr>
        <w:spacing w:line="276" w:lineRule="auto"/>
        <w:jc w:val="both"/>
      </w:pPr>
    </w:p>
    <w:p w14:paraId="633D10D6" w14:textId="77777777" w:rsidR="00806E09" w:rsidRPr="00291788" w:rsidRDefault="00806E09" w:rsidP="00806E09">
      <w:pPr>
        <w:spacing w:line="276" w:lineRule="auto"/>
        <w:jc w:val="both"/>
      </w:pPr>
      <w:r w:rsidRPr="00291788">
        <w:t xml:space="preserve">É o parecer, </w:t>
      </w:r>
      <w:proofErr w:type="spellStart"/>
      <w:r w:rsidRPr="00291788">
        <w:t>s.m.j</w:t>
      </w:r>
      <w:proofErr w:type="spellEnd"/>
    </w:p>
    <w:p w14:paraId="38BBCC84" w14:textId="77777777" w:rsidR="00806E09" w:rsidRPr="00291788" w:rsidRDefault="00806E09" w:rsidP="00806E09">
      <w:pPr>
        <w:spacing w:line="276" w:lineRule="auto"/>
        <w:jc w:val="both"/>
      </w:pPr>
    </w:p>
    <w:p w14:paraId="17A1B793" w14:textId="77777777" w:rsidR="00806E09" w:rsidRPr="00291788" w:rsidRDefault="00806E09" w:rsidP="00806E09">
      <w:pPr>
        <w:spacing w:line="276" w:lineRule="auto"/>
        <w:jc w:val="both"/>
      </w:pPr>
      <w:r w:rsidRPr="00291788">
        <w:t>Encaminhe-se para as providências cabíveis.</w:t>
      </w:r>
    </w:p>
    <w:p w14:paraId="320C5127" w14:textId="77777777" w:rsidR="00806E09" w:rsidRPr="00291788" w:rsidRDefault="00806E09" w:rsidP="00806E09">
      <w:pPr>
        <w:spacing w:line="276" w:lineRule="auto"/>
        <w:jc w:val="both"/>
      </w:pPr>
    </w:p>
    <w:p w14:paraId="1D921B57" w14:textId="364EE723" w:rsidR="00806E09" w:rsidRDefault="00806E09" w:rsidP="00806E09">
      <w:pPr>
        <w:spacing w:line="276" w:lineRule="auto"/>
        <w:jc w:val="right"/>
      </w:pPr>
      <w:r w:rsidRPr="00291788">
        <w:t xml:space="preserve">Anta Gorda/RS, </w:t>
      </w:r>
      <w:r>
        <w:t>18 de agosto</w:t>
      </w:r>
      <w:r w:rsidRPr="00291788">
        <w:t xml:space="preserve"> de 2025</w:t>
      </w:r>
    </w:p>
    <w:p w14:paraId="092F87BD" w14:textId="77777777" w:rsidR="00806E09" w:rsidRDefault="00806E09" w:rsidP="00806E09">
      <w:pPr>
        <w:spacing w:line="276" w:lineRule="auto"/>
        <w:jc w:val="right"/>
      </w:pPr>
    </w:p>
    <w:p w14:paraId="7F771ACC" w14:textId="77777777" w:rsidR="00806E09" w:rsidRPr="00291788" w:rsidRDefault="00806E09" w:rsidP="00806E09">
      <w:pPr>
        <w:spacing w:line="276" w:lineRule="auto"/>
        <w:jc w:val="right"/>
      </w:pPr>
    </w:p>
    <w:p w14:paraId="174C0CB5" w14:textId="77777777" w:rsidR="00806E09" w:rsidRDefault="00806E09" w:rsidP="00806E09">
      <w:pPr>
        <w:spacing w:line="276" w:lineRule="auto"/>
        <w:jc w:val="both"/>
      </w:pPr>
    </w:p>
    <w:p w14:paraId="5B903453" w14:textId="77777777" w:rsidR="00806E09" w:rsidRPr="00291788" w:rsidRDefault="00806E09" w:rsidP="00806E09">
      <w:pPr>
        <w:spacing w:line="276" w:lineRule="auto"/>
        <w:jc w:val="both"/>
      </w:pPr>
    </w:p>
    <w:p w14:paraId="46343350" w14:textId="77777777" w:rsidR="00806E09" w:rsidRPr="00291788" w:rsidRDefault="00806E09" w:rsidP="00806E09">
      <w:pPr>
        <w:spacing w:line="276" w:lineRule="auto"/>
        <w:jc w:val="center"/>
        <w:rPr>
          <w:b/>
          <w:bCs/>
        </w:rPr>
      </w:pPr>
      <w:r w:rsidRPr="00291788">
        <w:rPr>
          <w:b/>
          <w:bCs/>
        </w:rPr>
        <w:t xml:space="preserve">GUSTAVO </w:t>
      </w:r>
      <w:proofErr w:type="spellStart"/>
      <w:r w:rsidRPr="00291788">
        <w:rPr>
          <w:b/>
          <w:bCs/>
        </w:rPr>
        <w:t>MEZZOMO</w:t>
      </w:r>
      <w:proofErr w:type="spellEnd"/>
    </w:p>
    <w:p w14:paraId="5BA151C3" w14:textId="77777777" w:rsidR="00806E09" w:rsidRPr="00291788" w:rsidRDefault="00806E09" w:rsidP="00806E09">
      <w:pPr>
        <w:spacing w:line="276" w:lineRule="auto"/>
        <w:jc w:val="center"/>
      </w:pPr>
      <w:r w:rsidRPr="00291788">
        <w:rPr>
          <w:b/>
          <w:bCs/>
        </w:rPr>
        <w:t>Assessor Jurídico – OAB/RS 84.713</w:t>
      </w:r>
    </w:p>
    <w:p w14:paraId="56CA8D8A" w14:textId="77777777" w:rsidR="00806E09" w:rsidRPr="00291788" w:rsidRDefault="00806E09" w:rsidP="00806E09">
      <w:pPr>
        <w:spacing w:line="276" w:lineRule="auto"/>
        <w:jc w:val="both"/>
        <w:rPr>
          <w:b/>
          <w:bCs/>
        </w:rPr>
      </w:pPr>
    </w:p>
    <w:p w14:paraId="33A4CFF5" w14:textId="77777777" w:rsidR="00806E09" w:rsidRPr="00291788" w:rsidRDefault="00806E09" w:rsidP="00806E09">
      <w:pPr>
        <w:spacing w:line="276" w:lineRule="auto"/>
        <w:jc w:val="both"/>
      </w:pPr>
    </w:p>
    <w:p w14:paraId="12406FFA" w14:textId="77777777" w:rsidR="00806E09" w:rsidRDefault="00806E09"/>
    <w:sectPr w:rsidR="00806E09" w:rsidSect="00806E09">
      <w:headerReference w:type="default" r:id="rId4"/>
      <w:footerReference w:type="default" r:id="rId5"/>
      <w:pgSz w:w="11906" w:h="16838"/>
      <w:pgMar w:top="2127" w:right="1133" w:bottom="1276" w:left="1418" w:header="284" w:footer="2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D3D1" w14:textId="77777777" w:rsidR="00806E09" w:rsidRPr="005A3992" w:rsidRDefault="00806E09" w:rsidP="005A3992">
    <w:pPr>
      <w:tabs>
        <w:tab w:val="left" w:pos="7035"/>
      </w:tabs>
      <w:suppressAutoHyphens w:val="0"/>
      <w:autoSpaceDE w:val="0"/>
      <w:autoSpaceDN w:val="0"/>
      <w:ind w:left="101"/>
      <w:jc w:val="center"/>
      <w:outlineLvl w:val="0"/>
      <w:rPr>
        <w:rFonts w:ascii="Arial" w:eastAsia="Arial" w:hAnsi="Arial" w:cs="Arial"/>
        <w:b/>
        <w:bCs/>
        <w:kern w:val="0"/>
        <w:sz w:val="16"/>
        <w:szCs w:val="14"/>
        <w:lang w:val="ca-ES" w:eastAsia="ca-ES" w:bidi="ca-ES"/>
      </w:rPr>
    </w:pPr>
    <w:r w:rsidRPr="005A3992">
      <w:rPr>
        <w:rFonts w:ascii="Arial" w:eastAsia="Arial" w:hAnsi="Arial" w:cs="Arial"/>
        <w:b/>
        <w:bCs/>
        <w:kern w:val="0"/>
        <w:sz w:val="16"/>
        <w:szCs w:val="14"/>
        <w:lang w:val="ca-ES" w:eastAsia="ca-ES" w:bidi="ca-ES"/>
      </w:rPr>
      <w:t>(51) 3756.1149</w:t>
    </w:r>
  </w:p>
  <w:p w14:paraId="6CB9C7BF" w14:textId="77777777" w:rsidR="00806E09" w:rsidRPr="005A3992" w:rsidRDefault="00806E09" w:rsidP="005A3992">
    <w:pPr>
      <w:tabs>
        <w:tab w:val="right" w:pos="8504"/>
      </w:tabs>
      <w:suppressAutoHyphens w:val="0"/>
      <w:autoSpaceDE w:val="0"/>
      <w:autoSpaceDN w:val="0"/>
      <w:ind w:left="101"/>
      <w:jc w:val="center"/>
      <w:rPr>
        <w:rFonts w:ascii="Arial" w:eastAsia="Arial" w:hAnsi="Arial" w:cs="Arial"/>
        <w:b/>
        <w:kern w:val="0"/>
        <w:sz w:val="16"/>
        <w:szCs w:val="14"/>
        <w:lang w:val="ca-ES" w:eastAsia="ca-ES" w:bidi="ca-ES"/>
      </w:rPr>
    </w:pPr>
    <w:hyperlink r:id="rId1" w:history="1">
      <w:r w:rsidRPr="005A3992">
        <w:rPr>
          <w:rFonts w:ascii="Arial" w:eastAsia="Arial" w:hAnsi="Arial" w:cs="Arial"/>
          <w:b/>
          <w:color w:val="0000FF"/>
          <w:w w:val="105"/>
          <w:kern w:val="0"/>
          <w:sz w:val="16"/>
          <w:szCs w:val="14"/>
          <w:u w:val="single"/>
          <w:lang w:val="ca-ES" w:eastAsia="ca-ES" w:bidi="ca-ES"/>
        </w:rPr>
        <w:t>oficialdegabinete@antagorda.rs.gov.br</w:t>
      </w:r>
    </w:hyperlink>
  </w:p>
  <w:p w14:paraId="2E30EDE3" w14:textId="77777777" w:rsidR="00806E09" w:rsidRPr="005A3992" w:rsidRDefault="00806E09" w:rsidP="005A3992">
    <w:pPr>
      <w:tabs>
        <w:tab w:val="right" w:pos="8504"/>
      </w:tabs>
      <w:suppressAutoHyphens w:val="0"/>
      <w:autoSpaceDE w:val="0"/>
      <w:autoSpaceDN w:val="0"/>
      <w:ind w:left="101"/>
      <w:jc w:val="center"/>
      <w:rPr>
        <w:rFonts w:ascii="Arial" w:eastAsia="Arial" w:hAnsi="Arial" w:cs="Arial"/>
        <w:b/>
        <w:kern w:val="0"/>
        <w:sz w:val="16"/>
        <w:szCs w:val="14"/>
        <w:lang w:val="ca-ES" w:eastAsia="ca-ES" w:bidi="ca-ES"/>
      </w:rPr>
    </w:pPr>
    <w:r w:rsidRPr="005A3992">
      <w:rPr>
        <w:rFonts w:ascii="Arial" w:eastAsia="Arial" w:hAnsi="Arial" w:cs="Arial"/>
        <w:b/>
        <w:kern w:val="0"/>
        <w:sz w:val="16"/>
        <w:szCs w:val="14"/>
        <w:lang w:val="ca-ES" w:eastAsia="ca-ES" w:bidi="ca-ES"/>
      </w:rPr>
      <w:t>Rua Pe. Hermínio Catelli, 659 | Anta Gorda/RS | CEP 95980-000</w:t>
    </w:r>
  </w:p>
  <w:p w14:paraId="2622EEEA" w14:textId="77777777" w:rsidR="00806E09" w:rsidRPr="005A3992" w:rsidRDefault="00806E09" w:rsidP="005A3992">
    <w:pPr>
      <w:widowControl/>
      <w:suppressAutoHyphens w:val="0"/>
      <w:spacing w:line="276" w:lineRule="auto"/>
      <w:ind w:left="102"/>
      <w:jc w:val="center"/>
      <w:rPr>
        <w:rFonts w:ascii="Calibri" w:eastAsia="Calibri" w:hAnsi="Calibri" w:cs="Times New Roman"/>
        <w:b/>
        <w:kern w:val="0"/>
        <w:sz w:val="18"/>
        <w:szCs w:val="22"/>
        <w:lang w:eastAsia="en-US" w:bidi="ar-SA"/>
      </w:rPr>
    </w:pPr>
    <w:hyperlink r:id="rId2" w:history="1">
      <w:r w:rsidRPr="005A3992">
        <w:rPr>
          <w:rFonts w:ascii="Calibri" w:eastAsia="Calibri" w:hAnsi="Calibri" w:cs="Times New Roman"/>
          <w:b/>
          <w:color w:val="0000FF"/>
          <w:w w:val="105"/>
          <w:kern w:val="0"/>
          <w:sz w:val="18"/>
          <w:szCs w:val="22"/>
          <w:u w:val="single"/>
          <w:lang w:eastAsia="en-US" w:bidi="ar-SA"/>
        </w:rPr>
        <w:t>www.antagorda.rs.gov.br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9F84" w14:textId="18A15D70" w:rsidR="00806E09" w:rsidRDefault="00806E09" w:rsidP="005A3992">
    <w:pPr>
      <w:pStyle w:val="Cabealho"/>
      <w:jc w:val="center"/>
    </w:pPr>
    <w:r w:rsidRPr="00C15444">
      <w:rPr>
        <w:noProof/>
        <w:lang w:eastAsia="pt-BR"/>
      </w:rPr>
      <w:drawing>
        <wp:inline distT="0" distB="0" distL="0" distR="0" wp14:anchorId="54CAC843" wp14:editId="119EEAC6">
          <wp:extent cx="876300" cy="819150"/>
          <wp:effectExtent l="0" t="0" r="0" b="0"/>
          <wp:docPr id="3869556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13104" w14:textId="77777777" w:rsidR="00806E09" w:rsidRPr="00757B8E" w:rsidRDefault="00806E09" w:rsidP="005A3992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9"/>
    <w:rsid w:val="00806E09"/>
    <w:rsid w:val="00D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395"/>
  <w15:chartTrackingRefBased/>
  <w15:docId w15:val="{3CB3CE13-3C68-409D-8D58-74DA926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0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6E09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6E09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E09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6E09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6E09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6E09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6E09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6E09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6E09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6E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6E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6E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6E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6E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6E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6E09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0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6E09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06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6E09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06E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6E09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06E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6E0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6E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6E0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06E09"/>
    <w:pPr>
      <w:widowControl/>
      <w:tabs>
        <w:tab w:val="center" w:pos="4252"/>
        <w:tab w:val="right" w:pos="8504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06E0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nhideWhenUsed/>
    <w:rsid w:val="00806E09"/>
    <w:pPr>
      <w:widowControl/>
      <w:tabs>
        <w:tab w:val="center" w:pos="4252"/>
        <w:tab w:val="right" w:pos="8504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rsid w:val="00806E09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fontstyle01">
    <w:name w:val="fontstyle01"/>
    <w:rsid w:val="00806E0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1</cp:revision>
  <dcterms:created xsi:type="dcterms:W3CDTF">2025-08-27T16:50:00Z</dcterms:created>
  <dcterms:modified xsi:type="dcterms:W3CDTF">2025-08-27T16:51:00Z</dcterms:modified>
</cp:coreProperties>
</file>